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300" w:after="80"/>
        <w:rPr/>
      </w:pPr>
      <w:r>
        <w:rPr/>
      </w:r>
    </w:p>
    <w:p>
      <w:pPr>
        <w:pStyle w:val="Normal"/>
        <w:spacing w:before="0" w:after="60"/>
        <w:jc w:val="center"/>
        <w:rPr/>
      </w:pPr>
      <w:r>
        <w:rPr>
          <w:rFonts w:eastAsia="Arial" w:cs="Arial"/>
          <w:b/>
          <w:bCs/>
          <w:color w:val="2C7A4B"/>
          <w:sz w:val="44"/>
          <w:szCs w:val="44"/>
        </w:rPr>
        <w:t>FINANCIAL PROJECTION</w:t>
      </w:r>
    </w:p>
    <w:p>
      <w:pPr>
        <w:pStyle w:val="Normal"/>
        <w:spacing w:before="0" w:after="60"/>
        <w:jc w:val="center"/>
        <w:rPr/>
      </w:pPr>
      <w:r>
        <w:rPr>
          <w:rFonts w:eastAsia="Arial" w:cs="Arial"/>
          <w:b/>
          <w:bCs/>
          <w:color w:val="1A2E1A"/>
          <w:sz w:val="30"/>
          <w:szCs w:val="30"/>
        </w:rPr>
        <w:t>Eternal Spring Paradigm EcoSociety</w:t>
      </w:r>
    </w:p>
    <w:p>
      <w:pPr>
        <w:pStyle w:val="Normal"/>
        <w:spacing w:before="0" w:after="80"/>
        <w:jc w:val="center"/>
        <w:rPr/>
      </w:pPr>
      <w:r>
        <w:rPr>
          <w:rFonts w:eastAsia="Arial" w:cs="Arial"/>
          <w:i/>
          <w:iCs/>
          <w:color w:val="666666"/>
          <w:sz w:val="22"/>
          <w:szCs w:val="22"/>
        </w:rPr>
        <w:t>Sarawak, Malaysia  ·  5-Year Model  ·  April 2026</w:t>
      </w:r>
    </w:p>
    <w:p>
      <w:pPr>
        <w:pStyle w:val="Normal"/>
        <w:spacing w:before="4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/>
                <w:bCs/>
                <w:i w:val="false"/>
                <w:iCs w:val="false"/>
                <w:color w:val="2C7A4B"/>
                <w:sz w:val="22"/>
                <w:szCs w:val="22"/>
              </w:rPr>
              <w:t>Phase 1 Land Acquisition + Community Workshop + First 5 EcoHomes → Annual Revenue from 4 Core Verticals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/>
                <w:iCs/>
                <w:color w:val="1A2E1A"/>
                <w:sz w:val="20"/>
                <w:szCs w:val="20"/>
              </w:rPr>
              <w:t>All figures in Malaysian Ringgit (RM). Conservative assumptions. Prepared for impact investor review.</w:t>
            </w:r>
          </w:p>
        </w:tc>
      </w:tr>
    </w:tbl>
    <w:p>
      <w:pPr>
        <w:pStyle w:val="Normal"/>
        <w:spacing w:before="10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fill="F5F5F2" w:val="clear"/>
          </w:tcPr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/>
                <w:bCs/>
                <w:i w:val="false"/>
                <w:iCs w:val="false"/>
                <w:color w:val="1A2E1A"/>
                <w:sz w:val="20"/>
                <w:szCs w:val="20"/>
              </w:rPr>
              <w:t>Key assumptions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 xml:space="preserve">• </w:t>
            </w: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>EcoHomes vertical launches immediately (Yr1). ECE and Wellness launch Yr2 after TTGD affiliation.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 xml:space="preserve">• </w:t>
            </w: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>Labour for EcoHome construction = community sweat equity (not costed). Only materials costed.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 xml:space="preserve">• </w:t>
            </w: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>TTGD royalty = 3% of gross revenue. Reinvestment reserve = 17% of gross revenue (per TTGD finance structure).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 xml:space="preserve">• </w:t>
            </w: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>Land: Priority 1 (Balai Ringin, 10.2 acres @ RM 408,000). Adjusted if alternative parcel selected.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 xml:space="preserve">• </w:t>
            </w: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>Revenue figures are conservative — based on modest community uptake. Upside exists if ECE and OMS kit sales scale faster.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Heading1"/>
        <w:spacing w:before="0" w:after="140"/>
        <w:rPr/>
      </w:pPr>
      <w:r>
        <w:rPr>
          <w:rFonts w:eastAsia="Arial" w:cs="Arial" w:ascii="Arial" w:hAnsi="Arial"/>
          <w:b/>
          <w:bCs/>
          <w:color w:val="2C7A4B"/>
          <w:sz w:val="32"/>
          <w:szCs w:val="32"/>
        </w:rPr>
        <w:t>1. Phase 1 Investment Required</w:t>
      </w:r>
    </w:p>
    <w:p>
      <w:pPr>
        <w:pStyle w:val="Normal"/>
        <w:spacing w:before="50" w:after="8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olor w:val="1A2E1A"/>
          <w:sz w:val="22"/>
          <w:szCs w:val="22"/>
        </w:rPr>
        <w:t>One-time capital required to acquire land, set up the Community Workshop, and complete the first five EcoHomes.</w:t>
      </w:r>
    </w:p>
    <w:p>
      <w:pPr>
        <w:pStyle w:val="Normal"/>
        <w:spacing w:before="4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100" w:type="dxa"/>
          <w:left w:w="120" w:type="dxa"/>
          <w:bottom w:w="100" w:type="dxa"/>
          <w:right w:w="80" w:type="dxa"/>
        </w:tblCellMar>
      </w:tblPr>
      <w:tblGrid>
        <w:gridCol w:w="3800"/>
        <w:gridCol w:w="1400"/>
        <w:gridCol w:w="4160"/>
      </w:tblGrid>
      <w:tr>
        <w:trPr/>
        <w:tc>
          <w:tcPr>
            <w:tcW w:w="3800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Investment Item</w:t>
            </w:r>
          </w:p>
        </w:tc>
        <w:tc>
          <w:tcPr>
            <w:tcW w:w="1400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RM Amount</w:t>
            </w:r>
          </w:p>
        </w:tc>
        <w:tc>
          <w:tcPr>
            <w:tcW w:w="4160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4A9B6F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Notes</w:t>
            </w:r>
          </w:p>
        </w:tc>
      </w:tr>
      <w:tr>
        <w:trPr/>
        <w:tc>
          <w:tcPr>
            <w:tcW w:w="38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Land acquisition (Priority 1: Balai Ringin 10.2 acres)</w:t>
            </w:r>
          </w:p>
        </w:tc>
        <w:tc>
          <w:tcPr>
            <w:tcW w:w="14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90" w:type="dxa"/>
              <w:left w:w="80" w:type="dxa"/>
              <w:bottom w:w="9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2E1A"/>
                <w:sz w:val="19"/>
                <w:szCs w:val="19"/>
              </w:rPr>
              <w:t>RM 408,000</w:t>
            </w:r>
          </w:p>
        </w:tc>
        <w:tc>
          <w:tcPr>
            <w:tcW w:w="41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8"/>
                <w:szCs w:val="18"/>
              </w:rPr>
              <w:t>Core foundation. 10.2 acres held under ESP Trust.</w:t>
            </w:r>
          </w:p>
        </w:tc>
      </w:tr>
      <w:tr>
        <w:trPr/>
        <w:tc>
          <w:tcPr>
            <w:tcW w:w="38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Community Workshop setup (tools, 3D printer, molds)</w:t>
            </w:r>
          </w:p>
        </w:tc>
        <w:tc>
          <w:tcPr>
            <w:tcW w:w="14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90" w:type="dxa"/>
              <w:left w:w="80" w:type="dxa"/>
              <w:bottom w:w="9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2E1A"/>
                <w:sz w:val="19"/>
                <w:szCs w:val="19"/>
              </w:rPr>
              <w:t>RM 80,000</w:t>
            </w:r>
          </w:p>
        </w:tc>
        <w:tc>
          <w:tcPr>
            <w:tcW w:w="41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8"/>
                <w:szCs w:val="18"/>
              </w:rPr>
              <w:t>Desktop 3D printer + master molds + panel jigs + hand tools.</w:t>
            </w:r>
          </w:p>
        </w:tc>
      </w:tr>
      <w:tr>
        <w:trPr/>
        <w:tc>
          <w:tcPr>
            <w:tcW w:w="38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First 5 EcoHome materials (OMS panels + fixings)</w:t>
            </w:r>
          </w:p>
        </w:tc>
        <w:tc>
          <w:tcPr>
            <w:tcW w:w="14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90" w:type="dxa"/>
              <w:left w:w="80" w:type="dxa"/>
              <w:bottom w:w="9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2E1A"/>
                <w:sz w:val="19"/>
                <w:szCs w:val="19"/>
              </w:rPr>
              <w:t>RM 75,000</w:t>
            </w:r>
          </w:p>
        </w:tc>
        <w:tc>
          <w:tcPr>
            <w:tcW w:w="41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8"/>
                <w:szCs w:val="18"/>
              </w:rPr>
              <w:t>RM 15,000/unit material cost. Labour = community sweat equity.</w:t>
            </w:r>
          </w:p>
        </w:tc>
      </w:tr>
      <w:tr>
        <w:trPr/>
        <w:tc>
          <w:tcPr>
            <w:tcW w:w="38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Site clearing + basic infrastructure (access, water)</w:t>
            </w:r>
          </w:p>
        </w:tc>
        <w:tc>
          <w:tcPr>
            <w:tcW w:w="14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90" w:type="dxa"/>
              <w:left w:w="80" w:type="dxa"/>
              <w:bottom w:w="9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2E1A"/>
                <w:sz w:val="19"/>
                <w:szCs w:val="19"/>
              </w:rPr>
              <w:t>RM 40,000</w:t>
            </w:r>
          </w:p>
        </w:tc>
        <w:tc>
          <w:tcPr>
            <w:tcW w:w="41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8"/>
                <w:szCs w:val="18"/>
              </w:rPr>
              <w:t>Track clearing, basic water collection, temporary power.</w:t>
            </w:r>
          </w:p>
        </w:tc>
      </w:tr>
      <w:tr>
        <w:trPr/>
        <w:tc>
          <w:tcPr>
            <w:tcW w:w="38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Legal, registration, Pertubuhan + Trust Deed</w:t>
            </w:r>
          </w:p>
        </w:tc>
        <w:tc>
          <w:tcPr>
            <w:tcW w:w="14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90" w:type="dxa"/>
              <w:left w:w="80" w:type="dxa"/>
              <w:bottom w:w="9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2E1A"/>
                <w:sz w:val="19"/>
                <w:szCs w:val="19"/>
              </w:rPr>
              <w:t>RM 15,000</w:t>
            </w:r>
          </w:p>
        </w:tc>
        <w:tc>
          <w:tcPr>
            <w:tcW w:w="41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8"/>
                <w:szCs w:val="18"/>
              </w:rPr>
              <w:t>Pertubuhan registration, Trust Deed legal fees, Asana setup.</w:t>
            </w:r>
          </w:p>
        </w:tc>
      </w:tr>
      <w:tr>
        <w:trPr/>
        <w:tc>
          <w:tcPr>
            <w:tcW w:w="38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9"/>
                <w:szCs w:val="19"/>
              </w:rPr>
              <w:t>Working capital reserve (6 months operations)</w:t>
            </w:r>
          </w:p>
        </w:tc>
        <w:tc>
          <w:tcPr>
            <w:tcW w:w="14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90" w:type="dxa"/>
              <w:left w:w="80" w:type="dxa"/>
              <w:bottom w:w="9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2E1A"/>
                <w:sz w:val="19"/>
                <w:szCs w:val="19"/>
              </w:rPr>
              <w:t>RM 30,000</w:t>
            </w:r>
          </w:p>
        </w:tc>
        <w:tc>
          <w:tcPr>
            <w:tcW w:w="41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8"/>
                <w:szCs w:val="18"/>
              </w:rPr>
              <w:t>EXCO coordination, travel, communications, contingencies.</w:t>
            </w:r>
          </w:p>
        </w:tc>
      </w:tr>
      <w:tr>
        <w:trPr/>
        <w:tc>
          <w:tcPr>
            <w:tcW w:w="3800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1"/>
                <w:szCs w:val="21"/>
              </w:rPr>
              <w:t>TOTAL PHASE 1 INVESTMENT</w:t>
            </w:r>
          </w:p>
        </w:tc>
        <w:tc>
          <w:tcPr>
            <w:tcW w:w="1400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8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1"/>
                <w:szCs w:val="21"/>
              </w:rPr>
              <w:t>RM 648,000</w:t>
            </w:r>
          </w:p>
        </w:tc>
        <w:tc>
          <w:tcPr>
            <w:tcW w:w="4160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19"/>
                <w:szCs w:val="19"/>
              </w:rPr>
              <w:t>Within target budget of RM 250,000–750,000</w:t>
            </w:r>
          </w:p>
        </w:tc>
      </w:tr>
    </w:tbl>
    <w:p>
      <w:pPr>
        <w:pStyle w:val="Normal"/>
        <w:spacing w:before="10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F0D080"/>
              <w:left w:val="single" w:sz="2" w:space="0" w:color="F0D080"/>
              <w:bottom w:val="single" w:sz="2" w:space="0" w:color="F0D080"/>
              <w:right w:val="single" w:sz="2" w:space="0" w:color="F0D080"/>
            </w:tcBorders>
            <w:shd w:fill="FFF8E8" w:val="clear"/>
          </w:tcPr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/>
                <w:iCs/>
                <w:color w:val="1A2E1A"/>
                <w:sz w:val="20"/>
                <w:szCs w:val="20"/>
              </w:rPr>
              <w:t>Land accounts for 63% of total investment (RM 408,000 of RM 648,000). If the investor's contribution is land rather than cash, the remaining RM 240,000 covers Workshop, first homes, infrastructure, legal, and working capital.</w:t>
            </w:r>
          </w:p>
        </w:tc>
      </w:tr>
    </w:tbl>
    <w:p>
      <w:pPr>
        <w:pStyle w:val="Normal"/>
        <w:pBdr>
          <w:bottom w:val="single" w:sz="2" w:space="1" w:color="C8E6C9"/>
        </w:pBdr>
        <w:spacing w:before="140" w:after="140"/>
        <w:rPr/>
      </w:pPr>
      <w:r>
        <w:rPr/>
      </w:r>
    </w:p>
    <w:p>
      <w:pPr>
        <w:pStyle w:val="Heading1"/>
        <w:spacing w:before="0" w:after="140"/>
        <w:rPr/>
      </w:pPr>
      <w:r>
        <w:rPr>
          <w:rFonts w:eastAsia="Arial" w:cs="Arial" w:ascii="Arial" w:hAnsi="Arial"/>
          <w:b/>
          <w:bCs/>
          <w:color w:val="2C7A4B"/>
          <w:sz w:val="32"/>
          <w:szCs w:val="32"/>
        </w:rPr>
        <w:t>2. Revenue Projections — 5-Year Model</w:t>
      </w:r>
    </w:p>
    <w:p>
      <w:pPr>
        <w:pStyle w:val="Normal"/>
        <w:spacing w:before="50" w:after="8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olor w:val="1A2E1A"/>
          <w:sz w:val="22"/>
          <w:szCs w:val="22"/>
        </w:rPr>
        <w:t>Revenue grows across four verticals as the EcoSociety matures. EcoHomes launches immediately; ECE and Wellness launch in Year 2 following TTGD affiliation.</w:t>
      </w:r>
    </w:p>
    <w:p>
      <w:pPr>
        <w:pStyle w:val="Normal"/>
        <w:spacing w:before="4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100" w:type="dxa"/>
          <w:left w:w="120" w:type="dxa"/>
          <w:bottom w:w="100" w:type="dxa"/>
          <w:right w:w="80" w:type="dxa"/>
        </w:tblCellMar>
      </w:tblPr>
      <w:tblGrid>
        <w:gridCol w:w="2600"/>
        <w:gridCol w:w="1100"/>
        <w:gridCol w:w="1099"/>
        <w:gridCol w:w="1100"/>
        <w:gridCol w:w="1101"/>
        <w:gridCol w:w="1100"/>
        <w:gridCol w:w="1259"/>
      </w:tblGrid>
      <w:tr>
        <w:trPr/>
        <w:tc>
          <w:tcPr>
            <w:tcW w:w="2600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Revenue Vertical</w:t>
            </w:r>
          </w:p>
        </w:tc>
        <w:tc>
          <w:tcPr>
            <w:tcW w:w="1100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1</w:t>
            </w:r>
          </w:p>
        </w:tc>
        <w:tc>
          <w:tcPr>
            <w:tcW w:w="1099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2</w:t>
            </w:r>
          </w:p>
        </w:tc>
        <w:tc>
          <w:tcPr>
            <w:tcW w:w="1100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3</w:t>
            </w:r>
          </w:p>
        </w:tc>
        <w:tc>
          <w:tcPr>
            <w:tcW w:w="1101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4</w:t>
            </w:r>
          </w:p>
        </w:tc>
        <w:tc>
          <w:tcPr>
            <w:tcW w:w="1100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5</w:t>
            </w:r>
          </w:p>
        </w:tc>
        <w:tc>
          <w:tcPr>
            <w:tcW w:w="1259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4A9B6F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Notes</w:t>
            </w:r>
          </w:p>
        </w:tc>
      </w:tr>
      <w:tr>
        <w:trPr/>
        <w:tc>
          <w:tcPr>
            <w:tcW w:w="26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EcoHomes — Training fees (OMS building workshops)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24,000</w:t>
            </w:r>
          </w:p>
        </w:tc>
        <w:tc>
          <w:tcPr>
            <w:tcW w:w="10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36,000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60,000</w:t>
            </w:r>
          </w:p>
        </w:tc>
        <w:tc>
          <w:tcPr>
            <w:tcW w:w="1101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84,000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120,000</w:t>
            </w:r>
          </w:p>
        </w:tc>
        <w:tc>
          <w:tcPr>
            <w:tcW w:w="125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  <w:tcMar>
              <w:top w:w="80" w:type="dxa"/>
              <w:left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6"/>
                <w:szCs w:val="16"/>
              </w:rPr>
              <w:t>RM 2,000/participant · 12 participants Yr1 → 60 Yr5. Community members + external trainees.</w:t>
            </w:r>
          </w:p>
        </w:tc>
      </w:tr>
      <w:tr>
        <w:trPr/>
        <w:tc>
          <w:tcPr>
            <w:tcW w:w="26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EcoHomes — Materials sales (panels, molds, kits)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18,000</w:t>
            </w:r>
          </w:p>
        </w:tc>
        <w:tc>
          <w:tcPr>
            <w:tcW w:w="10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30,000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54,000</w:t>
            </w:r>
          </w:p>
        </w:tc>
        <w:tc>
          <w:tcPr>
            <w:tcW w:w="1101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90,000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150,000</w:t>
            </w:r>
          </w:p>
        </w:tc>
        <w:tc>
          <w:tcPr>
            <w:tcW w:w="125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  <w:tcMar>
              <w:top w:w="80" w:type="dxa"/>
              <w:left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6"/>
                <w:szCs w:val="16"/>
              </w:rPr>
              <w:t>Panel kit sales to neighbouring communities once production scales. Yr3+ as Societal Factory emerges.</w:t>
            </w:r>
          </w:p>
        </w:tc>
      </w:tr>
      <w:tr>
        <w:trPr/>
        <w:tc>
          <w:tcPr>
            <w:tcW w:w="26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Sustainable Agriculture — Produce sales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12,000</w:t>
            </w:r>
          </w:p>
        </w:tc>
        <w:tc>
          <w:tcPr>
            <w:tcW w:w="10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24,000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48,000</w:t>
            </w:r>
          </w:p>
        </w:tc>
        <w:tc>
          <w:tcPr>
            <w:tcW w:w="1101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72,000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96,000</w:t>
            </w:r>
          </w:p>
        </w:tc>
        <w:tc>
          <w:tcPr>
            <w:tcW w:w="125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  <w:tcMar>
              <w:top w:w="80" w:type="dxa"/>
              <w:left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6"/>
                <w:szCs w:val="16"/>
              </w:rPr>
              <w:t>Integrated food garden → community market. Yr1 pilot; Yr3+ commercial output.</w:t>
            </w:r>
          </w:p>
        </w:tc>
      </w:tr>
      <w:tr>
        <w:trPr/>
        <w:tc>
          <w:tcPr>
            <w:tcW w:w="26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Early Childhood Education — School fees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0</w:t>
            </w:r>
          </w:p>
        </w:tc>
        <w:tc>
          <w:tcPr>
            <w:tcW w:w="10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36,000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72,000</w:t>
            </w:r>
          </w:p>
        </w:tc>
        <w:tc>
          <w:tcPr>
            <w:tcW w:w="1101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108,000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144,000</w:t>
            </w:r>
          </w:p>
        </w:tc>
        <w:tc>
          <w:tcPr>
            <w:tcW w:w="125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  <w:tcMar>
              <w:top w:w="80" w:type="dxa"/>
              <w:left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6"/>
                <w:szCs w:val="16"/>
              </w:rPr>
              <w:t>Arini Method ECE. Yr2 launch · 10 students @ RM 300/mo → 40 students Yr5.</w:t>
            </w:r>
          </w:p>
        </w:tc>
      </w:tr>
      <w:tr>
        <w:trPr/>
        <w:tc>
          <w:tcPr>
            <w:tcW w:w="26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Mental Health &amp; Wellness — Centre fees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0</w:t>
            </w:r>
          </w:p>
        </w:tc>
        <w:tc>
          <w:tcPr>
            <w:tcW w:w="10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18,000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36,000</w:t>
            </w:r>
          </w:p>
        </w:tc>
        <w:tc>
          <w:tcPr>
            <w:tcW w:w="1101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54,000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72,000</w:t>
            </w:r>
          </w:p>
        </w:tc>
        <w:tc>
          <w:tcPr>
            <w:tcW w:w="125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  <w:tcMar>
              <w:top w:w="80" w:type="dxa"/>
              <w:left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6"/>
                <w:szCs w:val="16"/>
              </w:rPr>
              <w:t>3–4 practitioners Yr2. Community + Kuching referrals. Conservative utilisation.</w:t>
            </w:r>
          </w:p>
        </w:tc>
      </w:tr>
      <w:tr>
        <w:trPr/>
        <w:tc>
          <w:tcPr>
            <w:tcW w:w="26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Community events &amp; donations/grants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12,000</w:t>
            </w:r>
          </w:p>
        </w:tc>
        <w:tc>
          <w:tcPr>
            <w:tcW w:w="10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18,000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24,000</w:t>
            </w:r>
          </w:p>
        </w:tc>
        <w:tc>
          <w:tcPr>
            <w:tcW w:w="1101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30,000</w:t>
            </w:r>
          </w:p>
        </w:tc>
        <w:tc>
          <w:tcPr>
            <w:tcW w:w="110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36,000</w:t>
            </w:r>
          </w:p>
        </w:tc>
        <w:tc>
          <w:tcPr>
            <w:tcW w:w="125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  <w:tcMar>
              <w:top w:w="80" w:type="dxa"/>
              <w:left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i/>
                <w:iCs/>
                <w:color w:val="666666"/>
                <w:sz w:val="16"/>
                <w:szCs w:val="16"/>
              </w:rPr>
              <w:t>PICS-tracked volunteer impact, community events, impact grants.</w:t>
            </w:r>
          </w:p>
        </w:tc>
      </w:tr>
      <w:tr>
        <w:trPr/>
        <w:tc>
          <w:tcPr>
            <w:tcW w:w="2600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TOTAL GROSS REVENUE</w:t>
            </w:r>
          </w:p>
        </w:tc>
        <w:tc>
          <w:tcPr>
            <w:tcW w:w="1100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66,000</w:t>
            </w:r>
          </w:p>
        </w:tc>
        <w:tc>
          <w:tcPr>
            <w:tcW w:w="1099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162,000</w:t>
            </w:r>
          </w:p>
        </w:tc>
        <w:tc>
          <w:tcPr>
            <w:tcW w:w="1100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294,000</w:t>
            </w:r>
          </w:p>
        </w:tc>
        <w:tc>
          <w:tcPr>
            <w:tcW w:w="1101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438,000</w:t>
            </w:r>
          </w:p>
        </w:tc>
        <w:tc>
          <w:tcPr>
            <w:tcW w:w="1100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618,000</w:t>
            </w:r>
          </w:p>
        </w:tc>
        <w:tc>
          <w:tcPr>
            <w:tcW w:w="1259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18"/>
                <w:szCs w:val="18"/>
              </w:rPr>
              <w:t>Self-sustaining by Yr3</w:t>
            </w:r>
          </w:p>
        </w:tc>
      </w:tr>
    </w:tbl>
    <w:p>
      <w:pPr>
        <w:pStyle w:val="Normal"/>
        <w:pBdr>
          <w:bottom w:val="single" w:sz="2" w:space="1" w:color="C8E6C9"/>
        </w:pBdr>
        <w:spacing w:before="140" w:after="140"/>
        <w:rPr/>
      </w:pPr>
      <w:r>
        <w:rPr/>
      </w:r>
    </w:p>
    <w:p>
      <w:pPr>
        <w:pStyle w:val="Heading1"/>
        <w:spacing w:before="0" w:after="140"/>
        <w:rPr/>
      </w:pPr>
      <w:r>
        <w:rPr>
          <w:rFonts w:eastAsia="Arial" w:cs="Arial" w:ascii="Arial" w:hAnsi="Arial"/>
          <w:b/>
          <w:bCs/>
          <w:color w:val="2C7A4B"/>
          <w:sz w:val="32"/>
          <w:szCs w:val="32"/>
        </w:rPr>
        <w:t>3. Operating Costs &amp; Net Position</w:t>
      </w:r>
    </w:p>
    <w:p>
      <w:pPr>
        <w:pStyle w:val="Normal"/>
        <w:spacing w:before="50" w:after="80"/>
        <w:jc w:val="left"/>
        <w:rPr/>
      </w:pPr>
      <w:r>
        <w:rPr>
          <w:rFonts w:eastAsia="Arial" w:cs="Arial"/>
          <w:b w:val="false"/>
          <w:bCs w:val="false"/>
          <w:i w:val="false"/>
          <w:iCs w:val="false"/>
          <w:color w:val="1A2E1A"/>
          <w:sz w:val="22"/>
          <w:szCs w:val="22"/>
        </w:rPr>
        <w:t>Annual operating costs include TTGD royalty (3%) and reinvestment reserve (17%) as per the TTGD financial structure. Remaining 80% covers salaries, administration, and operations.</w:t>
      </w:r>
    </w:p>
    <w:p>
      <w:pPr>
        <w:pStyle w:val="Normal"/>
        <w:spacing w:before="4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100" w:type="dxa"/>
          <w:left w:w="120" w:type="dxa"/>
          <w:bottom w:w="100" w:type="dxa"/>
          <w:right w:w="80" w:type="dxa"/>
        </w:tblCellMar>
      </w:tblPr>
      <w:tblGrid>
        <w:gridCol w:w="2468"/>
        <w:gridCol w:w="1093"/>
        <w:gridCol w:w="1094"/>
        <w:gridCol w:w="1093"/>
        <w:gridCol w:w="1094"/>
        <w:gridCol w:w="1094"/>
        <w:gridCol w:w="1423"/>
      </w:tblGrid>
      <w:tr>
        <w:trPr/>
        <w:tc>
          <w:tcPr>
            <w:tcW w:w="2468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Cost Item</w:t>
            </w:r>
          </w:p>
        </w:tc>
        <w:tc>
          <w:tcPr>
            <w:tcW w:w="1093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1</w:t>
            </w:r>
          </w:p>
        </w:tc>
        <w:tc>
          <w:tcPr>
            <w:tcW w:w="1094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2</w:t>
            </w:r>
          </w:p>
        </w:tc>
        <w:tc>
          <w:tcPr>
            <w:tcW w:w="1093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3</w:t>
            </w:r>
          </w:p>
        </w:tc>
        <w:tc>
          <w:tcPr>
            <w:tcW w:w="1094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4</w:t>
            </w:r>
          </w:p>
        </w:tc>
        <w:tc>
          <w:tcPr>
            <w:tcW w:w="1094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>
                <w:rFonts w:eastAsia="Arial" w:cs="Arial"/>
                <w:b/>
                <w:bCs/>
                <w:color w:val="FFFFFF"/>
                <w:sz w:val="19"/>
                <w:szCs w:val="19"/>
              </w:rPr>
              <w:t>Yr 5</w:t>
            </w:r>
          </w:p>
        </w:tc>
        <w:tc>
          <w:tcPr>
            <w:tcW w:w="1423" w:type="dxa"/>
            <w:tcBorders>
              <w:top w:val="single" w:sz="2" w:space="0" w:color="A0C8A0"/>
              <w:left w:val="single" w:sz="2" w:space="0" w:color="A0C8A0"/>
              <w:bottom w:val="single" w:sz="2" w:space="0" w:color="A0C8A0"/>
              <w:right w:val="single" w:sz="2" w:space="0" w:color="A0C8A0"/>
            </w:tcBorders>
            <w:shd w:fill="2C7A4B" w:val="clea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EXCO coordination &amp; admin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36,000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42,000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48,000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54,000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60,000</w:t>
            </w:r>
          </w:p>
        </w:tc>
        <w:tc>
          <w:tcPr>
            <w:tcW w:w="142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Workshop operations &amp; materials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18,000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24,000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36,000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48,000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60,000</w:t>
            </w:r>
          </w:p>
        </w:tc>
        <w:tc>
          <w:tcPr>
            <w:tcW w:w="142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Agriculture inputs &amp; maintenance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6,000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10,000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16,000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22,000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28,000</w:t>
            </w:r>
          </w:p>
        </w:tc>
        <w:tc>
          <w:tcPr>
            <w:tcW w:w="142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ECE operations (Yr2+)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24,000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42,000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60,000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78,000</w:t>
            </w:r>
          </w:p>
        </w:tc>
        <w:tc>
          <w:tcPr>
            <w:tcW w:w="142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Wellness centre (Yr2+)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12,000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22,000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32,000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42,000</w:t>
            </w:r>
          </w:p>
        </w:tc>
        <w:tc>
          <w:tcPr>
            <w:tcW w:w="142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TTGD royalty (3% of revenue)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1,980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4,860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8,820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13,140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18,540</w:t>
            </w:r>
          </w:p>
        </w:tc>
        <w:tc>
          <w:tcPr>
            <w:tcW w:w="142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bottom w:w="8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Reinvestment reserve (17%)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11,220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27,540</w:t>
            </w:r>
          </w:p>
        </w:tc>
        <w:tc>
          <w:tcPr>
            <w:tcW w:w="109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49,980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74,460</w:t>
            </w:r>
          </w:p>
        </w:tc>
        <w:tc>
          <w:tcPr>
            <w:tcW w:w="1094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80" w:type="dxa"/>
              <w:left w:w="60" w:type="dxa"/>
              <w:bottom w:w="8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color w:val="1A2E1A"/>
                <w:sz w:val="18"/>
                <w:szCs w:val="18"/>
              </w:rPr>
              <w:t>RM 105,060</w:t>
            </w:r>
          </w:p>
        </w:tc>
        <w:tc>
          <w:tcPr>
            <w:tcW w:w="1423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C8A0A0"/>
              <w:left w:val="single" w:sz="2" w:space="0" w:color="C8A0A0"/>
              <w:bottom w:val="single" w:sz="2" w:space="0" w:color="C8A0A0"/>
              <w:right w:val="single" w:sz="2" w:space="0" w:color="C8A0A0"/>
            </w:tcBorders>
            <w:shd w:fill="FFF5F5" w:val="clear"/>
            <w:tcMar>
              <w:top w:w="90" w:type="dxa"/>
              <w:bottom w:w="9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7A1A1A"/>
                <w:sz w:val="19"/>
                <w:szCs w:val="19"/>
              </w:rPr>
              <w:t>TOTAL OPERATING COSTS</w:t>
            </w:r>
          </w:p>
        </w:tc>
        <w:tc>
          <w:tcPr>
            <w:tcW w:w="1093" w:type="dxa"/>
            <w:tcBorders>
              <w:top w:val="single" w:sz="2" w:space="0" w:color="C8A0A0"/>
              <w:left w:val="single" w:sz="2" w:space="0" w:color="C8A0A0"/>
              <w:bottom w:val="single" w:sz="2" w:space="0" w:color="C8A0A0"/>
              <w:right w:val="single" w:sz="2" w:space="0" w:color="C8A0A0"/>
            </w:tcBorders>
            <w:shd w:fill="FFF5F5" w:val="clear"/>
            <w:tcMar>
              <w:top w:w="90" w:type="dxa"/>
              <w:left w:w="60" w:type="dxa"/>
              <w:bottom w:w="9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7A1A1A"/>
                <w:sz w:val="19"/>
                <w:szCs w:val="19"/>
              </w:rPr>
              <w:t>RM 73,200</w:t>
            </w:r>
          </w:p>
        </w:tc>
        <w:tc>
          <w:tcPr>
            <w:tcW w:w="1094" w:type="dxa"/>
            <w:tcBorders>
              <w:top w:val="single" w:sz="2" w:space="0" w:color="C8A0A0"/>
              <w:left w:val="single" w:sz="2" w:space="0" w:color="C8A0A0"/>
              <w:bottom w:val="single" w:sz="2" w:space="0" w:color="C8A0A0"/>
              <w:right w:val="single" w:sz="2" w:space="0" w:color="C8A0A0"/>
            </w:tcBorders>
            <w:shd w:fill="FFF5F5" w:val="clear"/>
            <w:tcMar>
              <w:top w:w="90" w:type="dxa"/>
              <w:left w:w="60" w:type="dxa"/>
              <w:bottom w:w="9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7A1A1A"/>
                <w:sz w:val="19"/>
                <w:szCs w:val="19"/>
              </w:rPr>
              <w:t>RM 144,400</w:t>
            </w:r>
          </w:p>
        </w:tc>
        <w:tc>
          <w:tcPr>
            <w:tcW w:w="1093" w:type="dxa"/>
            <w:tcBorders>
              <w:top w:val="single" w:sz="2" w:space="0" w:color="C8A0A0"/>
              <w:left w:val="single" w:sz="2" w:space="0" w:color="C8A0A0"/>
              <w:bottom w:val="single" w:sz="2" w:space="0" w:color="C8A0A0"/>
              <w:right w:val="single" w:sz="2" w:space="0" w:color="C8A0A0"/>
            </w:tcBorders>
            <w:shd w:fill="FFF5F5" w:val="clear"/>
            <w:tcMar>
              <w:top w:w="90" w:type="dxa"/>
              <w:left w:w="60" w:type="dxa"/>
              <w:bottom w:w="9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7A1A1A"/>
                <w:sz w:val="19"/>
                <w:szCs w:val="19"/>
              </w:rPr>
              <w:t>RM 222,800</w:t>
            </w:r>
          </w:p>
        </w:tc>
        <w:tc>
          <w:tcPr>
            <w:tcW w:w="1094" w:type="dxa"/>
            <w:tcBorders>
              <w:top w:val="single" w:sz="2" w:space="0" w:color="C8A0A0"/>
              <w:left w:val="single" w:sz="2" w:space="0" w:color="C8A0A0"/>
              <w:bottom w:val="single" w:sz="2" w:space="0" w:color="C8A0A0"/>
              <w:right w:val="single" w:sz="2" w:space="0" w:color="C8A0A0"/>
            </w:tcBorders>
            <w:shd w:fill="FFF5F5" w:val="clear"/>
            <w:tcMar>
              <w:top w:w="90" w:type="dxa"/>
              <w:left w:w="60" w:type="dxa"/>
              <w:bottom w:w="9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7A1A1A"/>
                <w:sz w:val="19"/>
                <w:szCs w:val="19"/>
              </w:rPr>
              <w:t>RM 303,600</w:t>
            </w:r>
          </w:p>
        </w:tc>
        <w:tc>
          <w:tcPr>
            <w:tcW w:w="1094" w:type="dxa"/>
            <w:tcBorders>
              <w:top w:val="single" w:sz="2" w:space="0" w:color="C8A0A0"/>
              <w:left w:val="single" w:sz="2" w:space="0" w:color="C8A0A0"/>
              <w:bottom w:val="single" w:sz="2" w:space="0" w:color="C8A0A0"/>
              <w:right w:val="single" w:sz="2" w:space="0" w:color="C8A0A0"/>
            </w:tcBorders>
            <w:shd w:fill="FFF5F5" w:val="clear"/>
            <w:tcMar>
              <w:top w:w="90" w:type="dxa"/>
              <w:left w:w="60" w:type="dxa"/>
              <w:bottom w:w="9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7A1A1A"/>
                <w:sz w:val="19"/>
                <w:szCs w:val="19"/>
              </w:rPr>
              <w:t>RM 391,600</w:t>
            </w:r>
          </w:p>
        </w:tc>
        <w:tc>
          <w:tcPr>
            <w:tcW w:w="1423" w:type="dxa"/>
            <w:tcBorders>
              <w:top w:val="single" w:sz="2" w:space="0" w:color="C8A0A0"/>
              <w:left w:val="single" w:sz="2" w:space="0" w:color="C8A0A0"/>
              <w:bottom w:val="single" w:sz="2" w:space="0" w:color="C8A0A0"/>
              <w:right w:val="single" w:sz="2" w:space="0" w:color="C8A0A0"/>
            </w:tcBorders>
            <w:shd w:fill="FFF5F5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NET ANNUAL POSITION</w:t>
            </w:r>
          </w:p>
        </w:tc>
        <w:tc>
          <w:tcPr>
            <w:tcW w:w="1093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FFF0F0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7A1A1A"/>
                <w:sz w:val="20"/>
                <w:szCs w:val="20"/>
              </w:rPr>
              <w:t>RM -7,200</w:t>
            </w:r>
          </w:p>
        </w:tc>
        <w:tc>
          <w:tcPr>
            <w:tcW w:w="1094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17,600</w:t>
            </w:r>
          </w:p>
        </w:tc>
        <w:tc>
          <w:tcPr>
            <w:tcW w:w="1093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71,200</w:t>
            </w:r>
          </w:p>
        </w:tc>
        <w:tc>
          <w:tcPr>
            <w:tcW w:w="1094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134,400</w:t>
            </w:r>
          </w:p>
        </w:tc>
        <w:tc>
          <w:tcPr>
            <w:tcW w:w="1094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RM 226,400</w:t>
            </w:r>
          </w:p>
        </w:tc>
        <w:tc>
          <w:tcPr>
            <w:tcW w:w="1423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E8F5EE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2468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D4EDDA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1A5C2E"/>
                <w:sz w:val="20"/>
                <w:szCs w:val="20"/>
              </w:rPr>
              <w:t>CUMULATIVE NET (from Yr1)</w:t>
            </w:r>
          </w:p>
        </w:tc>
        <w:tc>
          <w:tcPr>
            <w:tcW w:w="1093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FFF0F0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7A1A1A"/>
                <w:sz w:val="20"/>
                <w:szCs w:val="20"/>
              </w:rPr>
              <w:t>RM -7,200</w:t>
            </w:r>
          </w:p>
        </w:tc>
        <w:tc>
          <w:tcPr>
            <w:tcW w:w="1094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D4EDDA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5C2E"/>
                <w:sz w:val="20"/>
                <w:szCs w:val="20"/>
              </w:rPr>
              <w:t>RM 10,400</w:t>
            </w:r>
          </w:p>
        </w:tc>
        <w:tc>
          <w:tcPr>
            <w:tcW w:w="1093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D4EDDA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5C2E"/>
                <w:sz w:val="20"/>
                <w:szCs w:val="20"/>
              </w:rPr>
              <w:t>RM 81,600</w:t>
            </w:r>
          </w:p>
        </w:tc>
        <w:tc>
          <w:tcPr>
            <w:tcW w:w="1094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D4EDDA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5C2E"/>
                <w:sz w:val="20"/>
                <w:szCs w:val="20"/>
              </w:rPr>
              <w:t>RM 216,000</w:t>
            </w:r>
          </w:p>
        </w:tc>
        <w:tc>
          <w:tcPr>
            <w:tcW w:w="1094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D4EDDA" w:val="clear"/>
            <w:tcMar>
              <w:left w:w="60" w:type="dxa"/>
              <w:right w:w="60" w:type="dxa"/>
            </w:tcMar>
          </w:tcPr>
          <w:p>
            <w:pPr>
              <w:pStyle w:val="Normal"/>
              <w:jc w:val="right"/>
              <w:rPr/>
            </w:pPr>
            <w:r>
              <w:rPr>
                <w:rFonts w:eastAsia="Arial" w:cs="Arial"/>
                <w:b/>
                <w:bCs/>
                <w:color w:val="1A5C2E"/>
                <w:sz w:val="20"/>
                <w:szCs w:val="20"/>
              </w:rPr>
              <w:t>RM 442,400</w:t>
            </w:r>
          </w:p>
        </w:tc>
        <w:tc>
          <w:tcPr>
            <w:tcW w:w="1423" w:type="dxa"/>
            <w:tcBorders>
              <w:top w:val="single" w:sz="2" w:space="0" w:color="2C7A4B"/>
              <w:left w:val="single" w:sz="2" w:space="0" w:color="2C7A4B"/>
              <w:bottom w:val="single" w:sz="2" w:space="0" w:color="2C7A4B"/>
              <w:right w:val="single" w:sz="2" w:space="0" w:color="2C7A4B"/>
            </w:tcBorders>
            <w:shd w:fill="D4EDDA" w:val="clear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before="100" w:after="80"/>
        <w:rPr/>
      </w:pPr>
      <w:r>
        <w:rPr/>
      </w:r>
    </w:p>
    <w:p>
      <w:pPr>
        <w:pStyle w:val="Normal"/>
        <w:pBdr>
          <w:bottom w:val="single" w:sz="2" w:space="1" w:color="C8E6C9"/>
        </w:pBdr>
        <w:spacing w:before="140" w:after="140"/>
        <w:rPr/>
      </w:pPr>
      <w:r>
        <w:rPr/>
      </w:r>
    </w:p>
    <w:p>
      <w:pPr>
        <w:pStyle w:val="Heading1"/>
        <w:spacing w:before="0" w:after="140"/>
        <w:rPr/>
      </w:pPr>
      <w:r>
        <w:rPr>
          <w:rFonts w:eastAsia="Arial" w:cs="Arial" w:ascii="Arial" w:hAnsi="Arial"/>
          <w:b/>
          <w:bCs/>
          <w:color w:val="2C7A4B"/>
          <w:sz w:val="32"/>
          <w:szCs w:val="32"/>
        </w:rPr>
        <w:t>4. Key Milestones &amp; Summary</w:t>
      </w:r>
    </w:p>
    <w:p>
      <w:pPr>
        <w:pStyle w:val="Normal"/>
        <w:spacing w:before="4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90" w:type="dxa"/>
          <w:left w:w="140" w:type="dxa"/>
          <w:bottom w:w="90" w:type="dxa"/>
          <w:right w:w="120" w:type="dxa"/>
        </w:tblCellMar>
      </w:tblPr>
      <w:tblGrid>
        <w:gridCol w:w="2799"/>
        <w:gridCol w:w="6560"/>
      </w:tblGrid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Break-even point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Year 2 (cumulative positive from RM 10,400 in Yr2)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Yr 1 gross revenue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66,000 — EcoHomes training + agriculture + donations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Yr 3 gross revenue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294,000 — all 4 verticals generating; community self-sustaining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Yr 5 gross revenue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618,000 — approaching land acquisition payback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5-year cumulative net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442,400 — community investment recovering strongly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TTGD royalties (5 yr)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46,340 total to TTGD HQ (3% annually)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Reinvestment (5 yr)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268,260 total back into EcoSociety expansion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EcoHome build cost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15,000/unit materials · Labour = community sweat equity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ECE fee model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AFFFE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300/child/month · Affordable for rural community</w:t>
            </w:r>
          </w:p>
        </w:tc>
      </w:tr>
      <w:tr>
        <w:trPr/>
        <w:tc>
          <w:tcPr>
            <w:tcW w:w="2799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5FBF7" w:val="clear"/>
          </w:tcPr>
          <w:p>
            <w:pPr>
              <w:pStyle w:val="Normal"/>
              <w:rPr/>
            </w:pPr>
            <w:r>
              <w:rPr>
                <w:rFonts w:eastAsia="Arial" w:cs="Arial"/>
                <w:b/>
                <w:bCs/>
                <w:color w:val="2C7A4B"/>
                <w:sz w:val="20"/>
                <w:szCs w:val="20"/>
              </w:rPr>
              <w:t>Wellness fee model</w:t>
            </w:r>
          </w:p>
        </w:tc>
        <w:tc>
          <w:tcPr>
            <w:tcW w:w="65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FFFFFF" w:val="clear"/>
            <w:tcMar>
              <w:right w:w="140" w:type="dxa"/>
            </w:tcMar>
          </w:tcPr>
          <w:p>
            <w:pPr>
              <w:pStyle w:val="Normal"/>
              <w:rPr/>
            </w:pPr>
            <w:r>
              <w:rPr>
                <w:rFonts w:eastAsia="Arial" w:cs="Arial"/>
                <w:color w:val="1A2E1A"/>
                <w:sz w:val="20"/>
                <w:szCs w:val="20"/>
              </w:rPr>
              <w:t>RM 150/session · 3 practitioners · 4 days/week</w:t>
            </w:r>
          </w:p>
        </w:tc>
      </w:tr>
    </w:tbl>
    <w:p>
      <w:pPr>
        <w:pStyle w:val="Normal"/>
        <w:spacing w:before="10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C8E6C9"/>
              <w:left w:val="single" w:sz="2" w:space="0" w:color="C8E6C9"/>
              <w:bottom w:val="single" w:sz="2" w:space="0" w:color="C8E6C9"/>
              <w:right w:val="single" w:sz="2" w:space="0" w:color="C8E6C9"/>
            </w:tcBorders>
            <w:shd w:fill="E8F5EE" w:val="clear"/>
          </w:tcPr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/>
                <w:iCs/>
                <w:color w:val="2C7A4B"/>
                <w:sz w:val="21"/>
                <w:szCs w:val="21"/>
              </w:rPr>
              <w:t>The EcoHomes vertical is self-funding within Year 1. The land is the only significant upfront capital requirement. By Year 3, the community generates enough revenue to sustain all four verticals without further external funding.</w:t>
            </w:r>
          </w:p>
        </w:tc>
      </w:tr>
    </w:tbl>
    <w:p>
      <w:pPr>
        <w:pStyle w:val="Normal"/>
        <w:spacing w:before="80" w:after="80"/>
        <w:rPr/>
      </w:pPr>
      <w:r>
        <w:rPr/>
      </w:r>
    </w:p>
    <w:tbl>
      <w:tblPr>
        <w:tblW w:w="9360" w:type="dxa"/>
        <w:jc w:val="left"/>
        <w:tblInd w:w="0" w:type="dxa"/>
        <w:tblLayout w:type="fixed"/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2" w:space="0" w:color="BED4EF"/>
              <w:left w:val="single" w:sz="2" w:space="0" w:color="BED4EF"/>
              <w:bottom w:val="single" w:sz="2" w:space="0" w:color="BED4EF"/>
              <w:right w:val="single" w:sz="2" w:space="0" w:color="BED4EF"/>
            </w:tcBorders>
            <w:shd w:fill="EDF4FB" w:val="clear"/>
          </w:tcPr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/>
                <w:bCs/>
                <w:i w:val="false"/>
                <w:iCs w:val="false"/>
                <w:color w:val="1A2E1A"/>
                <w:sz w:val="20"/>
                <w:szCs w:val="20"/>
              </w:rPr>
              <w:t>Note on land option flexibility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 w:val="false"/>
                <w:iCs w:val="false"/>
                <w:color w:val="1A2E1A"/>
                <w:sz w:val="20"/>
                <w:szCs w:val="20"/>
              </w:rPr>
              <w:t>If Priority 2 (26th Mile, 3.8ac @ RM 350,000) is selected instead of Priority 1, total Phase 1 investment reduces to RM 590,000, freeing RM 58,000 for accelerated Community Workshop build-out or an additional EcoHome unit.</w:t>
            </w:r>
          </w:p>
          <w:p>
            <w:pPr>
              <w:pStyle w:val="Normal"/>
              <w:spacing w:before="30" w:after="30"/>
              <w:jc w:val="left"/>
              <w:rPr/>
            </w:pPr>
            <w:r>
              <w:rPr>
                <w:rFonts w:eastAsia="Arial" w:cs="Arial"/>
                <w:b w:val="false"/>
                <w:bCs w:val="false"/>
                <w:i/>
                <w:iCs/>
                <w:color w:val="2C7A4B"/>
                <w:sz w:val="20"/>
                <w:szCs w:val="20"/>
              </w:rPr>
              <w:t>If the investor contributes land rather than cash (TTGD Land Owner Partner model), cash requirement drops to RM 240,000 for Workshop + Homes + operations.</w:t>
            </w:r>
          </w:p>
        </w:tc>
      </w:tr>
    </w:tbl>
    <w:p>
      <w:pPr>
        <w:pStyle w:val="Normal"/>
        <w:spacing w:before="100" w:after="80"/>
        <w:rPr/>
      </w:pPr>
      <w:r>
        <w:rPr/>
      </w:r>
    </w:p>
    <w:p>
      <w:pPr>
        <w:pStyle w:val="Normal"/>
        <w:spacing w:before="50" w:after="50"/>
        <w:jc w:val="left"/>
        <w:rPr/>
      </w:pPr>
      <w:r>
        <w:rPr>
          <w:rFonts w:eastAsia="Arial" w:cs="Arial"/>
          <w:b w:val="false"/>
          <w:bCs w:val="false"/>
          <w:i/>
          <w:iCs/>
          <w:color w:val="666666"/>
          <w:sz w:val="18"/>
          <w:szCs w:val="18"/>
        </w:rPr>
        <w:t>All projections prepared by ESP EcoSociety founding team, April 2026. Figures are estimates for investor discussion purposes and subject to revision following land due diligence and TTGD EXCO review.</w:t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color w:val="1A2E1A"/>
        <w:sz w:val="22"/>
        <w:szCs w:val="22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1A2E1A"/>
      <w:kern w:val="0"/>
      <w:sz w:val="22"/>
      <w:szCs w:val="22"/>
      <w:lang w:val="en-GB" w:eastAsia="zh-CN" w:bidi="hi-IN"/>
    </w:rPr>
  </w:style>
  <w:style w:type="paragraph" w:styleId="Heading1">
    <w:name w:val="heading 1"/>
    <w:basedOn w:val="Heading"/>
    <w:qFormat/>
    <w:pPr>
      <w:spacing w:before="320" w:after="140"/>
      <w:outlineLvl w:val="0"/>
    </w:pPr>
    <w:rPr>
      <w:rFonts w:ascii="Arial" w:hAnsi="Arial" w:eastAsia="Arial" w:cs="Arial"/>
      <w:b/>
      <w:bCs/>
      <w:color w:val="2C7A4B"/>
      <w:sz w:val="32"/>
      <w:szCs w:val="32"/>
    </w:rPr>
  </w:style>
  <w:style w:type="paragraph" w:styleId="Heading2">
    <w:name w:val="heading 2"/>
    <w:basedOn w:val="Heading"/>
    <w:qFormat/>
    <w:pPr>
      <w:spacing w:before="200" w:after="100"/>
      <w:outlineLvl w:val="1"/>
    </w:pPr>
    <w:rPr>
      <w:rFonts w:ascii="Arial" w:hAnsi="Arial" w:eastAsia="Arial" w:cs="Arial"/>
      <w:b/>
      <w:bCs/>
      <w:color w:val="1A2E1A"/>
      <w:sz w:val="24"/>
      <w:szCs w:val="24"/>
    </w:rPr>
  </w:style>
  <w:style w:type="paragraph" w:styleId="Heading3">
    <w:name w:val="heading 3"/>
    <w:basedOn w:val="Heading"/>
    <w:qFormat/>
    <w:pPr/>
    <w:rPr>
      <w:color w:val="1F4D78"/>
      <w:sz w:val="24"/>
      <w:szCs w:val="24"/>
    </w:rPr>
  </w:style>
  <w:style w:type="paragraph" w:styleId="Heading4">
    <w:name w:val="heading 4"/>
    <w:basedOn w:val="Heading"/>
    <w:qFormat/>
    <w:pPr/>
    <w:rPr>
      <w:i/>
      <w:iCs/>
      <w:color w:val="2E74B5"/>
    </w:rPr>
  </w:style>
  <w:style w:type="paragraph" w:styleId="Heading5">
    <w:name w:val="heading 5"/>
    <w:basedOn w:val="Heading"/>
    <w:qFormat/>
    <w:pPr/>
    <w:rPr>
      <w:color w:val="2E74B5"/>
    </w:rPr>
  </w:style>
  <w:style w:type="paragraph" w:styleId="Heading6">
    <w:name w:val="heading 6"/>
    <w:basedOn w:val="Heading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link w:val="FootnoteText"/>
    <w:uiPriority w:val="99"/>
    <w:semiHidden/>
    <w:unhideWhenUsed/>
    <w:qFormat/>
    <w:rPr>
      <w:sz w:val="20"/>
      <w:szCs w:val="20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link w:val="EndnoteText"/>
    <w:uiPriority w:val="99"/>
    <w:semiHidden/>
    <w:unhideWhenUsed/>
    <w:qFormat/>
    <w:rPr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Heading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Arial" w:hAnsi="Arial" w:eastAsia="Arial" w:cs="Arial"/>
      <w:b/>
      <w:bCs/>
      <w:color w:val="1A2E1A"/>
      <w:kern w:val="0"/>
      <w:sz w:val="22"/>
      <w:szCs w:val="22"/>
      <w:lang w:val="en-GB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Arial" w:hAnsi="Arial" w:eastAsia="Arial" w:cs="Arial"/>
      <w:color w:val="1A2E1A"/>
      <w:kern w:val="0"/>
      <w:sz w:val="22"/>
      <w:szCs w:val="22"/>
      <w:lang w:val="en-GB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2</Pages>
  <Words>946</Words>
  <Characters>5056</Characters>
  <CharactersWithSpaces>5825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2026-04-18T05:07:56Z</dcterms:created>
  <dc:creator>Un-named</dc:creator>
  <dc:description/>
  <dc:language>en-GB</dc:language>
  <cp:lastModifiedBy>Un-named</cp:lastModifiedBy>
  <dcterms:modified xsi:type="dcterms:W3CDTF">2026-04-18T05:07:56Z</dcterms:modified>
  <cp:revision>1</cp:revision>
  <dc:subject/>
  <dc:title/>
</cp:coreProperties>
</file>