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0"/>
        <w:jc w:val="center"/>
        <w:rPr/>
      </w:pPr>
      <w:r>
        <w:rPr>
          <w:rFonts w:eastAsia="Arial" w:cs="Arial"/>
          <w:b/>
          <w:bCs/>
          <w:color w:val="2C7A4B"/>
          <w:sz w:val="38"/>
          <w:szCs w:val="38"/>
        </w:rPr>
        <w:t>ETERNAL SPRING PARADIGM</w:t>
      </w:r>
    </w:p>
    <w:p>
      <w:pPr>
        <w:pStyle w:val="Normal"/>
        <w:spacing w:before="0" w:after="30"/>
        <w:jc w:val="center"/>
        <w:rPr/>
      </w:pPr>
      <w:r>
        <w:rPr>
          <w:rFonts w:eastAsia="Arial" w:cs="Arial"/>
          <w:i/>
          <w:iCs/>
          <w:color w:val="666666"/>
          <w:sz w:val="22"/>
          <w:szCs w:val="22"/>
        </w:rPr>
        <w:t>EcoSociety · Sarawak, Malaysian Borneo</w:t>
      </w:r>
    </w:p>
    <w:p>
      <w:pPr>
        <w:pStyle w:val="Normal"/>
        <w:spacing w:before="0" w:after="100"/>
        <w:jc w:val="center"/>
        <w:rPr/>
      </w:pPr>
      <w:r>
        <w:rPr>
          <w:rFonts w:eastAsia="Arial" w:cs="Arial"/>
          <w:color w:val="666666"/>
          <w:sz w:val="18"/>
          <w:szCs w:val="18"/>
        </w:rPr>
        <w:t>Affiliated EcoSociety of Through The Golden Door (TTGD) Global Foundation</w:t>
      </w:r>
    </w:p>
    <w:tbl>
      <w:tblPr>
        <w:tblW w:w="10772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/>
                <w:bCs/>
                <w:i w:val="false"/>
                <w:iCs w:val="false"/>
                <w:color w:val="2C7A4B"/>
                <w:sz w:val="21"/>
                <w:szCs w:val="21"/>
              </w:rPr>
              <w:t>Entry Vertical: Healthy EcoHomes &amp; Debt-Free Housing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/>
                <w:iCs/>
                <w:color w:val="1A2E1A"/>
                <w:sz w:val="19"/>
                <w:szCs w:val="19"/>
              </w:rPr>
              <w:t>Acquiring land to protect Borneo's natural processes · Building community through modular eco-homes · Growing from base camp to Golden City (50–80 households)</w:t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tbl>
      <w:tblPr>
        <w:tblW w:w="107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6"/>
        <w:gridCol w:w="239"/>
        <w:gridCol w:w="5267"/>
      </w:tblGrid>
      <w:tr>
        <w:trPr/>
        <w:tc>
          <w:tcPr>
            <w:tcW w:w="5266" w:type="dxa"/>
            <w:tcBorders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THE PROBLEM — TWO CRISES, ONE SOLUTION</w:t>
            </w:r>
          </w:p>
          <w:tbl>
            <w:tblPr>
              <w:tblW w:w="5266" w:type="dxa"/>
              <w:jc w:val="left"/>
              <w:tblInd w:w="0" w:type="dxa"/>
              <w:tblLayout w:type="fixed"/>
              <w:tblCellMar>
                <w:top w:w="80" w:type="dxa"/>
                <w:left w:w="120" w:type="dxa"/>
                <w:bottom w:w="80" w:type="dxa"/>
                <w:right w:w="120" w:type="dxa"/>
              </w:tblCellMar>
            </w:tblPr>
            <w:tblGrid>
              <w:gridCol w:w="5266"/>
            </w:tblGrid>
            <w:tr>
              <w:trPr/>
              <w:tc>
                <w:tcPr>
                  <w:tcW w:w="5266" w:type="dxa"/>
                  <w:tcBorders>
                    <w:top w:val="single" w:sz="2" w:space="0" w:color="F0D080"/>
                    <w:left w:val="single" w:sz="2" w:space="0" w:color="F0D080"/>
                    <w:bottom w:val="single" w:sz="2" w:space="0" w:color="F0D080"/>
                    <w:right w:val="single" w:sz="2" w:space="0" w:color="F0D080"/>
                  </w:tcBorders>
                  <w:shd w:fill="FFF8E8" w:val="clear"/>
                </w:tcPr>
                <w:p>
                  <w:pPr>
                    <w:pStyle w:val="Normal"/>
                    <w:spacing w:before="0" w:after="40"/>
                    <w:rPr/>
                  </w:pPr>
                  <w:r>
                    <w:rPr>
                      <w:rFonts w:eastAsia="Arial" w:cs="Arial"/>
                      <w:b/>
                      <w:bCs/>
                      <w:color w:val="7A4F00"/>
                      <w:sz w:val="20"/>
                      <w:szCs w:val="20"/>
                    </w:rPr>
                    <w:t>Housing Crisis</w:t>
                  </w:r>
                </w:p>
                <w:p>
                  <w:pPr>
                    <w:pStyle w:val="ListParagraph"/>
                    <w:numPr>
                      <w:ilvl w:val="0"/>
                      <w:numId w:val="3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Conventional housing unaffordable for rural Sarawak families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Construction causes air, waste &amp; sound pollution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Families trapped in debt — unable to build generational wealth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E8F5EE" w:val="clear"/>
                </w:tcPr>
                <w:p>
                  <w:pPr>
                    <w:pStyle w:val="Normal"/>
                    <w:spacing w:before="0" w:after="40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20"/>
                      <w:szCs w:val="20"/>
                    </w:rPr>
                    <w:t>Ecological Crisis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Borneo has lost 30%+ of rainforest in two decades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Development disconnects communities from nature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9"/>
                      <w:szCs w:val="19"/>
                    </w:rPr>
                    <w:t>No replicable eco-community model exists in rural SEA</w:t>
                  </w:r>
                </w:p>
              </w:tc>
            </w:tr>
          </w:tbl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OUR SOLUTION — EXODUST DOME V-01 (OMS)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Modular dome system, 3D-printed panels, local materials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30% energy saving · disaster-proof · zero wet concrete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Community-built — sweat equity eliminates housing debt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Community Workshop → Societal Factory as we scale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Temporary &amp; Permanent · Humanitarian &amp; Commercial</w:t>
            </w:r>
          </w:p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GROWTH ROADMAP</w:t>
            </w:r>
          </w:p>
          <w:tbl>
            <w:tblPr>
              <w:tblW w:w="5266" w:type="dxa"/>
              <w:jc w:val="left"/>
              <w:tblInd w:w="0" w:type="dxa"/>
              <w:tblLayout w:type="fixed"/>
              <w:tblCellMar>
                <w:top w:w="70" w:type="dxa"/>
                <w:left w:w="100" w:type="dxa"/>
                <w:bottom w:w="70" w:type="dxa"/>
                <w:right w:w="80" w:type="dxa"/>
              </w:tblCellMar>
            </w:tblPr>
            <w:tblGrid>
              <w:gridCol w:w="1100"/>
              <w:gridCol w:w="4165"/>
            </w:tblGrid>
            <w:tr>
              <w:trPr/>
              <w:tc>
                <w:tcPr>
                  <w:tcW w:w="1100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E8F5E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7"/>
                      <w:szCs w:val="17"/>
                    </w:rPr>
                    <w:t>Phase 1 Now</w:t>
                  </w:r>
                </w:p>
              </w:tc>
              <w:tc>
                <w:tcPr>
                  <w:tcW w:w="4165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Land (4–10ac) + Community Workshop + first 5 EcoHomes + founding EXCO + Pertubuhan registration</w:t>
                  </w:r>
                </w:p>
              </w:tc>
            </w:tr>
            <w:tr>
              <w:trPr/>
              <w:tc>
                <w:tcPr>
                  <w:tcW w:w="1100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7"/>
                      <w:szCs w:val="17"/>
                    </w:rPr>
                    <w:t>Phase 2 1–2 yrs</w:t>
                  </w:r>
                </w:p>
              </w:tc>
              <w:tc>
                <w:tcPr>
                  <w:tcW w:w="4165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Full TTGD Certificate · ECE pilot · Wellness centre · 15–20 households</w:t>
                  </w:r>
                </w:p>
              </w:tc>
            </w:tr>
            <w:tr>
              <w:trPr/>
              <w:tc>
                <w:tcPr>
                  <w:tcW w:w="1100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E8F5E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7"/>
                      <w:szCs w:val="17"/>
                    </w:rPr>
                    <w:t>Phase 3 2–4 yrs</w:t>
                  </w:r>
                </w:p>
              </w:tc>
              <w:tc>
                <w:tcPr>
                  <w:tcW w:w="4165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50–80 households · Societal Factory · Full 4-vertical revenue</w:t>
                  </w:r>
                </w:p>
              </w:tc>
            </w:tr>
            <w:tr>
              <w:trPr/>
              <w:tc>
                <w:tcPr>
                  <w:tcW w:w="1100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7"/>
                      <w:szCs w:val="17"/>
                    </w:rPr>
                    <w:t>Phase 4 5+ yrs</w:t>
                  </w:r>
                </w:p>
              </w:tc>
              <w:tc>
                <w:tcPr>
                  <w:tcW w:w="4165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FFFFF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TTGD International Affiliated Trust · SEA replication · The Golden City</w:t>
                  </w:r>
                </w:p>
              </w:tc>
            </w:tr>
          </w:tbl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THE FOUNDING TEAM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Ooi Kah Aik (Jeff) — Director, B.L. Leong Hin Timber Merchants (est. 1967), Penang. 57 years local supply chain &amp; community trust.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Mark Stephen Lee — Conceptual artist &amp; virtual engineer, Wales. Co-creator Virtue Innova.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TTGD Global: Tahira Amir Sultan Khan (Founder), Dr. Arini Verwer (ECE), Leif Busk (Agriculture), Aruneshwar Gupta (Legal)</w:t>
            </w:r>
          </w:p>
        </w:tc>
        <w:tc>
          <w:tcPr>
            <w:tcW w:w="23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267" w:type="dxa"/>
            <w:tcBorders/>
          </w:tcPr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LAND ACQUISITION — KUCHING–SERIAN CORRIDOR</w:t>
            </w:r>
          </w:p>
          <w:tbl>
            <w:tblPr>
              <w:tblW w:w="5266" w:type="dxa"/>
              <w:jc w:val="left"/>
              <w:tblInd w:w="0" w:type="dxa"/>
              <w:tblLayout w:type="fixed"/>
              <w:tblCellMar>
                <w:top w:w="80" w:type="dxa"/>
                <w:left w:w="120" w:type="dxa"/>
                <w:bottom w:w="80" w:type="dxa"/>
                <w:right w:w="120" w:type="dxa"/>
              </w:tblCellMar>
            </w:tblPr>
            <w:tblGrid>
              <w:gridCol w:w="5266"/>
            </w:tblGrid>
            <w:tr>
              <w:trPr/>
              <w:tc>
                <w:tcPr>
                  <w:tcW w:w="5266" w:type="dxa"/>
                  <w:tcBorders>
                    <w:top w:val="single" w:sz="2" w:space="0" w:color="2C7A4B"/>
                    <w:left w:val="single" w:sz="12" w:space="0" w:color="2C7A4B"/>
                    <w:bottom w:val="single" w:sz="2" w:space="0" w:color="2C7A4B"/>
                    <w:right w:val="single" w:sz="2" w:space="0" w:color="2C7A4B"/>
                  </w:tcBorders>
                  <w:shd w:fill="D4EDDA" w:val="clear"/>
                </w:tcPr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b/>
                      <w:bCs/>
                      <w:color w:val="1A5C2E"/>
                      <w:sz w:val="18"/>
                      <w:szCs w:val="18"/>
                    </w:rPr>
                    <w:t xml:space="preserve">★ </w:t>
                  </w:r>
                  <w:r>
                    <w:rPr>
                      <w:rFonts w:eastAsia="Arial" w:cs="Arial"/>
                      <w:b/>
                      <w:bCs/>
                      <w:color w:val="1A5C2E"/>
                      <w:sz w:val="18"/>
                      <w:szCs w:val="18"/>
                    </w:rPr>
                    <w:t xml:space="preserve">PRIORITY 1  </w:t>
                  </w:r>
                  <w:r>
                    <w:rPr>
                      <w:rFonts w:eastAsia="Arial" w:cs="Arial"/>
                      <w:b/>
                      <w:bCs/>
                      <w:color w:val="1A2E1A"/>
                      <w:sz w:val="18"/>
                      <w:szCs w:val="18"/>
                    </w:rPr>
                    <w:t>Balai Ringin, Serian</w:t>
                  </w:r>
                </w:p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i/>
                      <w:iCs/>
                      <w:color w:val="666666"/>
                      <w:sz w:val="17"/>
                      <w:szCs w:val="17"/>
                    </w:rPr>
                    <w:t>10.2 acres · RM 408,000 · RM 40k/acre · Leasehold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Largest within budget — ideal base camp scale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Ancient forest edge, deep rural Borneo setting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ACTION: Verify legal road access before proceeding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E8F5EE" w:val="clear"/>
                </w:tcPr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8"/>
                      <w:szCs w:val="18"/>
                    </w:rPr>
                    <w:t xml:space="preserve">PRIORITY 2  </w:t>
                  </w:r>
                  <w:r>
                    <w:rPr>
                      <w:rFonts w:eastAsia="Arial" w:cs="Arial"/>
                      <w:b/>
                      <w:bCs/>
                      <w:color w:val="1A2E1A"/>
                      <w:sz w:val="18"/>
                      <w:szCs w:val="18"/>
                    </w:rPr>
                    <w:t>26th Mile, Skuduk Padi Field</w:t>
                  </w:r>
                </w:p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i/>
                      <w:iCs/>
                      <w:color w:val="666666"/>
                      <w:sz w:val="17"/>
                      <w:szCs w:val="17"/>
                    </w:rPr>
                    <w:t>3.8 acres · RM 350,000 · RM 92k/acre · Leasehold to 2038 (renewable)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Already identified — YouTube site walkthrough available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2km to Panchor Hot Spring · 4km to Tapah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Explore adjoining lot for 6+ acre expansion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8"/>
                      <w:szCs w:val="18"/>
                    </w:rPr>
                    <w:t xml:space="preserve">PRIORITY 3  </w:t>
                  </w:r>
                  <w:r>
                    <w:rPr>
                      <w:rFonts w:eastAsia="Arial" w:cs="Arial"/>
                      <w:b/>
                      <w:bCs/>
                      <w:color w:val="1A2E1A"/>
                      <w:sz w:val="18"/>
                      <w:szCs w:val="18"/>
                    </w:rPr>
                    <w:t>21.5th Mile, Kuching–Serian</w:t>
                  </w:r>
                </w:p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i/>
                      <w:iCs/>
                      <w:color w:val="666666"/>
                      <w:sz w:val="17"/>
                      <w:szCs w:val="17"/>
                    </w:rPr>
                    <w:t>~8 acres · RM 280k/acre (neg.) · Partial lot: 2.5ac ~RM 700k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Pan Borneo frontage · Mature corridor · Leasehold 2072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9FFFC" w:val="clear"/>
                </w:tcPr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b/>
                      <w:bCs/>
                      <w:color w:val="2C7A4B"/>
                      <w:sz w:val="18"/>
                      <w:szCs w:val="18"/>
                    </w:rPr>
                    <w:t xml:space="preserve">PRIORITY 4  </w:t>
                  </w:r>
                  <w:r>
                    <w:rPr>
                      <w:rFonts w:eastAsia="Arial" w:cs="Arial"/>
                      <w:b/>
                      <w:bCs/>
                      <w:color w:val="1A2E1A"/>
                      <w:sz w:val="18"/>
                      <w:szCs w:val="18"/>
                    </w:rPr>
                    <w:t>38th Mile, Near Serian Town</w:t>
                  </w:r>
                </w:p>
                <w:p>
                  <w:pPr>
                    <w:pStyle w:val="Normal"/>
                    <w:spacing w:before="0" w:after="30"/>
                    <w:rPr/>
                  </w:pPr>
                  <w:r>
                    <w:rPr>
                      <w:rFonts w:eastAsia="Arial" w:cs="Arial"/>
                      <w:i/>
                      <w:iCs/>
                      <w:color w:val="666666"/>
                      <w:sz w:val="17"/>
                      <w:szCs w:val="17"/>
                    </w:rPr>
                    <w:t>3.87 acres · Price on enquiry · 1st lot, road frontage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before="30" w:after="30"/>
                    <w:rPr/>
                  </w:pPr>
                  <w:r>
                    <w:rPr>
                      <w:rFonts w:eastAsia="Arial" w:cs="Arial"/>
                      <w:color w:val="1A2E1A"/>
                      <w:sz w:val="17"/>
                      <w:szCs w:val="17"/>
                    </w:rPr>
                    <w:t>2-min to Serian town — best community access</w:t>
                  </w:r>
                </w:p>
              </w:tc>
            </w:tr>
          </w:tbl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INVESTOR BENEFITS (TTGD LAND OWNER PARTNER)</w:t>
            </w:r>
          </w:p>
          <w:tbl>
            <w:tblPr>
              <w:tblW w:w="5266" w:type="dxa"/>
              <w:jc w:val="left"/>
              <w:tblInd w:w="0" w:type="dxa"/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</w:tblPr>
            <w:tblGrid>
              <w:gridCol w:w="5266"/>
            </w:tblGrid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🏛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Founder Life Trustee — land always under your stewardship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🌐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Name affiliated with TTGD International Foundation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🎓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Free ECE for up to 10 children (family &amp; siblings)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🏡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Subsidised EcoHomes for you &amp; immediate family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🌾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Subsidised produce for up to 20 family members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5FBF7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📈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Land value appreciation as EcoSociety develops</w:t>
                  </w:r>
                </w:p>
              </w:tc>
            </w:tr>
            <w:tr>
              <w:trPr/>
              <w:tc>
                <w:tcPr>
                  <w:tcW w:w="5266" w:type="dxa"/>
                  <w:tcBorders>
                    <w:top w:val="single" w:sz="2" w:space="0" w:color="C8E6C9"/>
                    <w:left w:val="single" w:sz="2" w:space="0" w:color="C8E6C9"/>
                    <w:bottom w:val="single" w:sz="2" w:space="0" w:color="C8E6C9"/>
                    <w:right w:val="single" w:sz="2" w:space="0" w:color="C8E6C9"/>
                  </w:tcBorders>
                  <w:shd w:fill="FAFFFE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 xml:space="preserve">🪧  </w:t>
                  </w:r>
                  <w:r>
                    <w:rPr>
                      <w:rFonts w:eastAsia="Arial" w:cs="Arial"/>
                      <w:color w:val="1A2E1A"/>
                      <w:sz w:val="18"/>
                      <w:szCs w:val="18"/>
                    </w:rPr>
                    <w:t>Name on permanent Land Plaque &amp; TTGD global website</w:t>
                  </w:r>
                </w:p>
              </w:tc>
            </w:tr>
          </w:tbl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TRUST &amp; LEGAL STRUCTURE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Local: Pertubuhan (registered Malaysian org.) — ESP EcoSociety Trust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Global: Affiliated Trust under TTGD Foundation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Finance: 80% ops · 17% reinvestment · 3% TTGD royalty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3-year joint review with TTGDF ensures transparency</w:t>
            </w:r>
          </w:p>
          <w:p>
            <w:pPr>
              <w:pStyle w:val="Normal"/>
              <w:spacing w:before="80" w:after="80"/>
              <w:rPr/>
            </w:pPr>
            <w:r>
              <w:rPr/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WHY NOW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TTGD targeting 100 EcoSocieties by 2035 — ESP is Borneo flagship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Forest-edge land at RM 40k–92k/acre — window closing with Pan Borneo Highway development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30" w:after="30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B.L. Leong Hin Timber (est. 1967) = immediate supply chain &amp; 57 years of community trust</w:t>
            </w:r>
          </w:p>
        </w:tc>
      </w:tr>
    </w:tbl>
    <w:p>
      <w:pPr>
        <w:pStyle w:val="Normal"/>
        <w:spacing w:before="80" w:after="80"/>
        <w:rPr/>
      </w:pPr>
      <w:r>
        <w:rPr/>
      </w:r>
    </w:p>
    <w:tbl>
      <w:tblPr>
        <w:tblW w:w="10772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10772"/>
      </w:tblGrid>
      <w:tr>
        <w:trPr/>
        <w:tc>
          <w:tcPr>
            <w:tcW w:w="10772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Arial" w:cs="Arial"/>
                <w:b/>
                <w:bCs/>
                <w:i w:val="false"/>
                <w:iCs w:val="false"/>
                <w:color w:val="2C7A4B"/>
                <w:sz w:val="20"/>
                <w:szCs w:val="20"/>
              </w:rPr>
              <w:t>Ready to plant the seed of something eternal?</w:t>
            </w:r>
          </w:p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666666"/>
                <w:sz w:val="17"/>
                <w:szCs w:val="17"/>
              </w:rPr>
              <w:t>Contact: Ooi Kah Aik (Jeff)  ·  ESP EcoSociety Trust, Sarawak  ·  Affiliated with ThroughTheGoldenDoor.com</w:t>
            </w:r>
          </w:p>
        </w:tc>
      </w:tr>
    </w:tbl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30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1A2E1A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1A2E1A"/>
      <w:kern w:val="0"/>
      <w:sz w:val="20"/>
      <w:szCs w:val="20"/>
      <w:lang w:val="en-GB" w:eastAsia="zh-CN" w:bidi="hi-IN"/>
    </w:rPr>
  </w:style>
  <w:style w:type="paragraph" w:styleId="Heading1">
    <w:name w:val="heading 1"/>
    <w:basedOn w:val="Heading"/>
    <w:qFormat/>
    <w:pPr>
      <w:spacing w:before="120" w:after="60"/>
      <w:outlineLvl w:val="0"/>
    </w:pPr>
    <w:rPr>
      <w:rFonts w:ascii="Arial" w:hAnsi="Arial" w:eastAsia="Arial" w:cs="Arial"/>
      <w:b/>
      <w:bCs/>
      <w:color w:val="2C7A4B"/>
      <w:sz w:val="22"/>
      <w:szCs w:val="2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1A2E1A"/>
      <w:kern w:val="0"/>
      <w:sz w:val="20"/>
      <w:szCs w:val="20"/>
      <w:lang w:val="en-GB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1A2E1A"/>
      <w:kern w:val="0"/>
      <w:sz w:val="20"/>
      <w:szCs w:val="20"/>
      <w:lang w:val="en-GB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2</Pages>
  <Words>599</Words>
  <Characters>3113</Characters>
  <CharactersWithSpaces>3634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2026-04-18T05:07:56Z</dcterms:created>
  <dc:creator>Un-named</dc:creator>
  <dc:description/>
  <dc:language>en-GB</dc:language>
  <cp:lastModifiedBy>Un-named</cp:lastModifiedBy>
  <dcterms:modified xsi:type="dcterms:W3CDTF">2026-04-18T05:07:56Z</dcterms:modified>
  <cp:revision>1</cp:revision>
  <dc:subject/>
  <dc:title/>
</cp:coreProperties>
</file>